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906</wp:posOffset>
            </wp:positionV>
            <wp:extent cx="5400040" cy="5065776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6577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 Ammonite(암모나이트)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미상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</w:pPr>
      <w:r>
        <w:rPr>
          <w:b/>
          <w:sz w:val="32"/>
        </w:rPr>
        <w:t xml:space="preserve">연체동물문 두족강 암모나이트목에 속하는 </w:t>
      </w:r>
      <w:r>
        <w:rPr>
          <w:lang w:eastAsia="ko-KR"/>
          <w:b/>
          <w:sz w:val="32"/>
          <w:rtl w:val="off"/>
        </w:rPr>
        <w:t xml:space="preserve">연체동물이며, </w:t>
      </w:r>
      <w:r>
        <w:rPr>
          <w:b/>
          <w:sz w:val="32"/>
        </w:rPr>
        <w:t>바다에서</w:t>
      </w:r>
      <w:r>
        <w:rPr>
          <w:b/>
          <w:sz w:val="32"/>
          <w:spacing w:val="-8"/>
        </w:rPr>
        <w:t xml:space="preserve"> </w:t>
      </w:r>
      <w:r>
        <w:rPr>
          <w:b/>
          <w:sz w:val="32"/>
        </w:rPr>
        <w:t>서식</w:t>
      </w:r>
      <w:r>
        <w:rPr>
          <w:lang w:eastAsia="ko-KR"/>
          <w:b/>
          <w:sz w:val="32"/>
          <w:rtl w:val="off"/>
        </w:rPr>
        <w:t>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중생대의 대표</w:t>
      </w:r>
      <w:r>
        <w:rPr>
          <w:b/>
          <w:sz w:val="32"/>
          <w:spacing w:val="-9"/>
        </w:rPr>
        <w:t xml:space="preserve"> </w:t>
      </w:r>
      <w:r>
        <w:rPr>
          <w:b/>
          <w:sz w:val="32"/>
        </w:rPr>
        <w:t>표준화석이다.</w:t>
      </w:r>
    </w:p>
    <w:p>
      <w:pPr>
        <w:pStyle w:val="ListParagraph"/>
        <w:ind w:left="9933" w:right="30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달팽이 모양의 나선형 껍질을 갖고 있었으나 형태는 </w:t>
      </w:r>
      <w:r>
        <w:rPr>
          <w:b/>
          <w:sz w:val="32"/>
          <w:spacing w:val="-8"/>
        </w:rPr>
        <w:t xml:space="preserve">같은 </w:t>
      </w:r>
      <w:r>
        <w:rPr>
          <w:b/>
          <w:sz w:val="32"/>
        </w:rPr>
        <w:t>조상에서 진화한 앵무조개·진주앵무조개 등과</w:t>
      </w:r>
      <w:r>
        <w:rPr>
          <w:b/>
          <w:sz w:val="32"/>
          <w:spacing w:val="-4"/>
        </w:rPr>
        <w:t xml:space="preserve"> </w:t>
      </w:r>
      <w:r>
        <w:rPr>
          <w:b/>
          <w:sz w:val="32"/>
        </w:rPr>
        <w:t>유사하다.</w:t>
      </w:r>
    </w:p>
    <w:p>
      <w:pPr>
        <w:pStyle w:val="ListParagraph"/>
        <w:ind w:left="9933" w:right="10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평면나선형으로 감기면서 성장하기 때문에 어릴 때의 </w:t>
      </w:r>
      <w:r>
        <w:rPr>
          <w:b/>
          <w:sz w:val="32"/>
          <w:spacing w:val="-8"/>
        </w:rPr>
        <w:t xml:space="preserve">껍데 </w:t>
      </w:r>
      <w:r>
        <w:rPr>
          <w:b/>
          <w:sz w:val="32"/>
        </w:rPr>
        <w:t>기가 내부에 남아있어 성장과정을 조사할 수</w:t>
      </w:r>
      <w:r>
        <w:rPr>
          <w:b/>
          <w:sz w:val="32"/>
          <w:spacing w:val="-17"/>
        </w:rPr>
        <w:t xml:space="preserve"> </w:t>
      </w:r>
      <w:r>
        <w:rPr>
          <w:b/>
          <w:sz w:val="32"/>
        </w:rPr>
        <w:t>있다.</w:t>
      </w:r>
    </w:p>
    <w:sectPr>
      <w:type w:val="continuous"/>
      <w:pgSz w:w="19200" w:h="10810" w:orient="landscape"/>
      <w:pgMar w:top="560" w:right="62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2019-12-07T10:44:14Z</dcterms:created>
  <dcterms:modified xsi:type="dcterms:W3CDTF">2024-10-14T00:20:11Z</dcterms:modified>
  <cp:version>1200.0100.01</cp:version>
</cp:coreProperties>
</file>