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72986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29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부석(Pumice)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장석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El Cajete, New Mexico,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비중이 작아 물에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빨리 식으며 굳기 때문에 수많은 구멍이 생기고 유리질 </w:t>
      </w:r>
      <w:r>
        <w:rPr>
          <w:b/>
          <w:spacing w:val="-15"/>
          <w:sz w:val="32"/>
        </w:rPr>
        <w:t>암 </w:t>
      </w:r>
      <w:r>
        <w:rPr>
          <w:b/>
          <w:sz w:val="32"/>
        </w:rPr>
        <w:t>질을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가진다.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558" w:hanging="566"/>
        <w:jc w:val="left"/>
        <w:rPr>
          <w:b/>
          <w:sz w:val="32"/>
        </w:rPr>
      </w:pPr>
      <w:r>
        <w:rPr>
          <w:b/>
          <w:sz w:val="32"/>
        </w:rPr>
        <w:t>유문암과 같이 Na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O와 K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O의 함량이 많고 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함량은 65%이상이다.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백색-연회색을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띤다.</w:t>
      </w:r>
    </w:p>
    <w:sectPr>
      <w:type w:val="continuous"/>
      <w:pgSz w:w="19200" w:h="1080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2019-12-08T11:02:19Z</dcterms:created>
  <dcterms:modified xsi:type="dcterms:W3CDTF">2019-12-08T11:02:19Z</dcterms:modified>
</cp:coreProperties>
</file>