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3660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36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율이리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14'21.9"N</w:t>
      </w:r>
      <w:r>
        <w:rPr>
          <w:rFonts w:ascii="Calibri" w:hAnsi="Calibri" w:eastAsia="Calibri"/>
          <w:b/>
          <w:spacing w:val="3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09'59.2"E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어두운 고철질의</w:t>
      </w:r>
      <w:r>
        <w:rPr>
          <w:b/>
          <w:spacing w:val="-11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70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7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보이지만</w:t>
      </w:r>
    </w:p>
    <w:p>
      <w:pPr>
        <w:pStyle w:val="BodyText"/>
        <w:spacing w:line="578" w:lineRule="exact"/>
        <w:ind w:firstLine="0"/>
      </w:pPr>
      <w:r>
        <w:rPr/>
        <w:t>다공질인 경우가 있다.</w:t>
      </w:r>
    </w:p>
    <w:sectPr>
      <w:type w:val="continuous"/>
      <w:pgSz w:w="19200" w:h="1081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